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7F" w:rsidRDefault="009C5E7F" w:rsidP="009C5E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Острые вопросы Профсоюза  работников РАН и предметные ответы заместителя Министра </w:t>
      </w:r>
      <w:proofErr w:type="spellStart"/>
      <w:r>
        <w:rPr>
          <w:b/>
          <w:bCs/>
          <w:sz w:val="28"/>
          <w:szCs w:val="28"/>
        </w:rPr>
        <w:t>Минобрнауки</w:t>
      </w:r>
      <w:proofErr w:type="spellEnd"/>
      <w:r>
        <w:rPr>
          <w:b/>
          <w:bCs/>
          <w:sz w:val="28"/>
          <w:szCs w:val="28"/>
        </w:rPr>
        <w:t xml:space="preserve"> России А.В. </w:t>
      </w:r>
      <w:proofErr w:type="spellStart"/>
      <w:r>
        <w:rPr>
          <w:b/>
          <w:bCs/>
          <w:sz w:val="28"/>
          <w:szCs w:val="28"/>
        </w:rPr>
        <w:t>Омельчука</w:t>
      </w:r>
      <w:proofErr w:type="spellEnd"/>
    </w:p>
    <w:p w:rsidR="009C5E7F" w:rsidRDefault="009C5E7F" w:rsidP="009C5E7F">
      <w:pPr>
        <w:jc w:val="center"/>
        <w:rPr>
          <w:b/>
          <w:bCs/>
          <w:sz w:val="28"/>
          <w:szCs w:val="28"/>
        </w:rPr>
      </w:pP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последнее время у Академических институтов и научного сообщества возникло много вопросов к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по целому ряду проблем финансового характера. За 2021 год Профсоюз работников РАН несколько раз писал обращения и устроил Акцию по массовой отправке писем в Министерство по примерному положению об оплате труда и нехватки денег на эти цели у Академических Институтов. Увеличение окладов работникам и не обеспечение Министерством дополнительной субсидией, привело к существенному сокращению стимулирующих выплат и в большинстве институтах практически уровняло заработную плату печатающихся в </w:t>
      </w:r>
      <w:proofErr w:type="spellStart"/>
      <w:r>
        <w:rPr>
          <w:sz w:val="28"/>
          <w:szCs w:val="28"/>
        </w:rPr>
        <w:t>высокорейтинговых</w:t>
      </w:r>
      <w:proofErr w:type="spellEnd"/>
      <w:r>
        <w:rPr>
          <w:sz w:val="28"/>
          <w:szCs w:val="28"/>
        </w:rPr>
        <w:t xml:space="preserve"> журналах научных сотрудников с остальными  научными сотрудниками. Также в декабре 2021 года Институты, принимающие участие в программе по трудоустройству выпускников недополучили ранее обещанное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финансирование.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круглого стола с Министерством в рамках проведения ежегодного семинара профактива Московской региональной организации (с приглашением на встречу коллег из Региональных профсоюзных организаций), оказалась своевременной. 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 февраля 2022 г в рамках круглого стола</w:t>
      </w:r>
      <w:r>
        <w:t xml:space="preserve"> </w:t>
      </w:r>
      <w:r>
        <w:rPr>
          <w:sz w:val="28"/>
          <w:szCs w:val="28"/>
        </w:rPr>
        <w:t xml:space="preserve">заместитель Министра науки и высшего образования А.В. </w:t>
      </w:r>
      <w:proofErr w:type="spellStart"/>
      <w:r>
        <w:rPr>
          <w:sz w:val="28"/>
          <w:szCs w:val="28"/>
        </w:rPr>
        <w:t>Омельчук</w:t>
      </w:r>
      <w:proofErr w:type="spellEnd"/>
      <w:r>
        <w:rPr>
          <w:sz w:val="28"/>
          <w:szCs w:val="28"/>
        </w:rPr>
        <w:t xml:space="preserve"> в формате видеоконференции</w:t>
      </w:r>
      <w:r>
        <w:t xml:space="preserve"> </w:t>
      </w:r>
      <w:r>
        <w:rPr>
          <w:sz w:val="28"/>
          <w:szCs w:val="28"/>
        </w:rPr>
        <w:t>представил презентацию, в которой</w:t>
      </w:r>
      <w:r>
        <w:t xml:space="preserve"> </w:t>
      </w:r>
      <w:r>
        <w:rPr>
          <w:sz w:val="28"/>
          <w:szCs w:val="28"/>
        </w:rPr>
        <w:t xml:space="preserve">рассказал о финансовом обеспечении научной деятельности и реализуемых министерством программах, привел данные за 2021 год и обозначил планы на будущее. По подсчетам Министерства финансирование Институтов в 2021 г., выросло на 6% относительно показателей за 2020 г в большей степени в институтах, у которых имелись проблемы с оплатой труда на выполнение Майских Указов В.В. Путина от 12 мая 2012 г. Заработная плата работников выросла за счет выделения дополнительного беспрецедентного финансирования. Так в ноябре 2021 г в организации РАН выделена на оплату труда научным сотрудникам дополнительная субсидия в размере 5.4 млрд. руб., из них 1.8 млрд. на поддержку молодых ученых. 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Омельчук</w:t>
      </w:r>
      <w:proofErr w:type="spellEnd"/>
      <w:r>
        <w:rPr>
          <w:sz w:val="28"/>
          <w:szCs w:val="28"/>
        </w:rPr>
        <w:t xml:space="preserve"> отметил, что по Постановлению Правительства РФ для выпускников Вузов 2020 г., поступающих на работу в институты РАН выделено 294,8 млн. руб. и трудоустроено 1962 выпускника в 137 организации. В 2021 число доведено до 2368 с финансированием их рабочих мест. В 2021 г  создано 44 новых молодежных лабораторий, на что затрачено 657 млн.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, а в 2022 г планируется открытие еще 150 молодежных лабораторий. 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министерстве знают и пытаются устранить диспропорцию в оплате труда научных сотрудников, научных работников и др. категория работников институтов. Зачастую выполнение Указа Президента от 12 мая 2012 г. приходится на 20-30% высокооплачиваемой группы ученых институтов. Для ликвидации диспропорции Министерство изменило показатель оценки </w:t>
      </w:r>
      <w:r>
        <w:rPr>
          <w:sz w:val="28"/>
          <w:szCs w:val="28"/>
        </w:rPr>
        <w:lastRenderedPageBreak/>
        <w:t xml:space="preserve">работы Руководителей организаций (директоров). Введен один из показателей эффективности руководителя, требующий увеличения доли работников, имеющих заработную плату по итогам года не менее 200 % от средней в соответствующем субъекте РФ до величины не менее 50% от доли всех научных сотрудников учреждения. Кроме того по поручениям Президента Министерством разрабатывается новая отраслевая система оплаты труда научных работников. В категорию научных работников отнесены, не только научные сотрудники, но и инженерно-технический состав, участвующий в научных разработках. </w:t>
      </w:r>
      <w:proofErr w:type="spellStart"/>
      <w:r>
        <w:rPr>
          <w:sz w:val="28"/>
          <w:szCs w:val="28"/>
        </w:rPr>
        <w:t>Пилотный</w:t>
      </w:r>
      <w:proofErr w:type="spellEnd"/>
      <w:r>
        <w:rPr>
          <w:sz w:val="28"/>
          <w:szCs w:val="28"/>
        </w:rPr>
        <w:t xml:space="preserve"> проект введения новой системы труда научных работников рассчитан на 125 организаций из 7 субъектов РФ. В настоящее время в этих организациях Министерством запрашиваются данные по заработным платам всех категорий работников. Далее будет проведен анализ и предложен проект новой отраслевой системы оплаты труда, который необходимо представить в Правительство РФ в мае 2022 г.  Первое заседание рабочей группы состоится в ближайшее время.</w:t>
      </w:r>
    </w:p>
    <w:p w:rsidR="009C5E7F" w:rsidRDefault="009C5E7F" w:rsidP="009C5E7F">
      <w:pPr>
        <w:jc w:val="both"/>
        <w:rPr>
          <w:sz w:val="28"/>
          <w:szCs w:val="28"/>
        </w:rPr>
      </w:pP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своего доклада А.В. </w:t>
      </w:r>
      <w:proofErr w:type="spellStart"/>
      <w:r>
        <w:rPr>
          <w:sz w:val="28"/>
          <w:szCs w:val="28"/>
        </w:rPr>
        <w:t>Омельчук</w:t>
      </w:r>
      <w:proofErr w:type="spellEnd"/>
      <w:r>
        <w:rPr>
          <w:sz w:val="28"/>
          <w:szCs w:val="28"/>
        </w:rPr>
        <w:t xml:space="preserve"> подробно ответил на вопросы  из зала и от руководителей  Профсоюза из регионов, которые участвовали во встрече по 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>. Ниже приводятся самые острые вопросы.</w:t>
      </w:r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Иевлев Г. (Томск) 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Какова судьба программы по содействию  трудоустройства выпускников на научно-исследовательские позиции? Институты, принимающие участие в программе по трудоустройству выпускников 2021 года недополучили ранее обещанное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финансирование.</w:t>
      </w:r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А.В. </w:t>
      </w:r>
      <w:proofErr w:type="spellStart"/>
      <w:r>
        <w:rPr>
          <w:b/>
          <w:bCs/>
          <w:sz w:val="28"/>
          <w:szCs w:val="28"/>
        </w:rPr>
        <w:t>Омельчук</w:t>
      </w:r>
      <w:proofErr w:type="spellEnd"/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на выпускников включены в базовый объем финансирования организации на 2022 год, даже с учетом индексации. Министерство посмотрит и для каждой организации сделать расшифровку. У нас нет сметного финансирования. В общем объеме бюджета организации средства на выпускников включены.</w:t>
      </w:r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Майорова</w:t>
      </w:r>
      <w:proofErr w:type="spellEnd"/>
      <w:r>
        <w:rPr>
          <w:b/>
          <w:bCs/>
          <w:sz w:val="28"/>
          <w:szCs w:val="28"/>
        </w:rPr>
        <w:t xml:space="preserve"> А. (Екатеринбург)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Институты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включены в </w:t>
      </w:r>
      <w:proofErr w:type="spellStart"/>
      <w:r>
        <w:rPr>
          <w:sz w:val="28"/>
          <w:szCs w:val="28"/>
        </w:rPr>
        <w:t>пилотный</w:t>
      </w:r>
      <w:proofErr w:type="spellEnd"/>
      <w:r>
        <w:rPr>
          <w:sz w:val="28"/>
          <w:szCs w:val="28"/>
        </w:rPr>
        <w:t xml:space="preserve"> проект по новой отраслевой системе оплаты труда. Планируется ли выделение субсидий на эту программу?</w:t>
      </w:r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А.В. </w:t>
      </w:r>
      <w:proofErr w:type="spellStart"/>
      <w:r>
        <w:rPr>
          <w:b/>
          <w:bCs/>
          <w:sz w:val="28"/>
          <w:szCs w:val="28"/>
        </w:rPr>
        <w:t>Омельчук</w:t>
      </w:r>
      <w:proofErr w:type="spellEnd"/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будет зависеть от собранных параметров из Институтов по новой системе оплаты труда.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>Сейчас сказать однозначно не представляется возможным. Скорее всего, на проект дополнительное финансирование все-таки потребуется. В настоящее время новая система о</w:t>
      </w:r>
      <w:r w:rsidR="000E3273">
        <w:rPr>
          <w:sz w:val="28"/>
          <w:szCs w:val="28"/>
        </w:rPr>
        <w:t>платы труда введена в медицине, где оклад (защищенная часть заработной платы) составляет 70 %, а стимулирующие выплаты 30 %. Я полагаю для институтов РАН это соотношение может быть иным.</w:t>
      </w:r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Вдовин В. (Н. Новгород)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увеличение окладов по Примерному положению оплаты труда дополнительных денег не пришло. Заложены ли они в бюджете 2022 г.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А.В. </w:t>
      </w:r>
      <w:proofErr w:type="spellStart"/>
      <w:r>
        <w:rPr>
          <w:b/>
          <w:bCs/>
          <w:sz w:val="28"/>
          <w:szCs w:val="28"/>
        </w:rPr>
        <w:t>Омельчук</w:t>
      </w:r>
      <w:proofErr w:type="spellEnd"/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Министерства при введении новой системы оплаты труда не было цели в  увеличении заработной платы. Это перераспределение внутри финансов организаций между окладной частью и стимулирующими выплатами. </w:t>
      </w:r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Юркин</w:t>
      </w:r>
      <w:proofErr w:type="gramEnd"/>
      <w:r>
        <w:rPr>
          <w:b/>
          <w:bCs/>
          <w:sz w:val="28"/>
          <w:szCs w:val="28"/>
        </w:rPr>
        <w:t xml:space="preserve"> В. (Москва) 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министерство собирается решать проблему с низкими зарплатами, вспомогательного и обслуживающего персонала, АУП.  Будет ли что либо сделано для исправления этой ситуации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А.В. </w:t>
      </w:r>
      <w:proofErr w:type="spellStart"/>
      <w:r>
        <w:rPr>
          <w:b/>
          <w:bCs/>
          <w:sz w:val="28"/>
          <w:szCs w:val="28"/>
        </w:rPr>
        <w:t>Омельчук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работники (инженерно-технический состав) будут учтены в новой системе оплаты труда. Вспомогательный состав, административно-технический персонал – здесь нужно смотреть на соответствие аналогичных должностей в смежных отраслях. Мы готовы провести аналитику, но пока надо разобраться с новой системой оплаты научных работников. </w:t>
      </w:r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Березин М. (Черноголовка)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 в 2020, ни в 2021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Минобр</w:t>
      </w:r>
      <w:proofErr w:type="spellEnd"/>
      <w:r>
        <w:rPr>
          <w:sz w:val="28"/>
          <w:szCs w:val="28"/>
        </w:rPr>
        <w:t xml:space="preserve"> не собирал сведения о планируемых научных </w:t>
      </w:r>
      <w:proofErr w:type="spellStart"/>
      <w:r>
        <w:rPr>
          <w:sz w:val="28"/>
          <w:szCs w:val="28"/>
        </w:rPr>
        <w:t>конференциях.и</w:t>
      </w:r>
      <w:proofErr w:type="spellEnd"/>
      <w:r>
        <w:rPr>
          <w:sz w:val="28"/>
          <w:szCs w:val="28"/>
        </w:rPr>
        <w:t xml:space="preserve"> не финансировал их. Будет ли эта необходимая часть научной деятельности финансироваться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А.В. </w:t>
      </w:r>
      <w:proofErr w:type="spellStart"/>
      <w:r>
        <w:rPr>
          <w:b/>
          <w:bCs/>
          <w:sz w:val="28"/>
          <w:szCs w:val="28"/>
        </w:rPr>
        <w:t>Омельчук</w:t>
      </w:r>
      <w:proofErr w:type="spellEnd"/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>Да, действительно с 2019 года средства на проведение конференций не выделяются. Необходимо обсуждать и выработать алгоритм (критерии) отбора какие конференции из множества перспективные и нуждаются в поддержке, пока их нет.</w:t>
      </w:r>
    </w:p>
    <w:p w:rsidR="009C5E7F" w:rsidRDefault="009C5E7F" w:rsidP="009C5E7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В.А. </w:t>
      </w:r>
      <w:proofErr w:type="spellStart"/>
      <w:r>
        <w:rPr>
          <w:b/>
          <w:sz w:val="28"/>
          <w:szCs w:val="28"/>
        </w:rPr>
        <w:t>Картошкин</w:t>
      </w:r>
      <w:proofErr w:type="spellEnd"/>
      <w:r>
        <w:rPr>
          <w:b/>
          <w:sz w:val="28"/>
          <w:szCs w:val="28"/>
        </w:rPr>
        <w:t xml:space="preserve"> (Ленинградская межрегиональная организация)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взять медианные значения показателей КБПР научного направления для оценки эффективности директоров и организаций, на которые должны ориентироваться институты, как часто они пересчитываются?</w:t>
      </w:r>
    </w:p>
    <w:p w:rsidR="009C5E7F" w:rsidRDefault="009C5E7F" w:rsidP="009C5E7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А.В. </w:t>
      </w:r>
      <w:proofErr w:type="spellStart"/>
      <w:r>
        <w:rPr>
          <w:b/>
          <w:bCs/>
          <w:sz w:val="28"/>
          <w:szCs w:val="28"/>
        </w:rPr>
        <w:t>Омельчук</w:t>
      </w:r>
      <w:proofErr w:type="spellEnd"/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>Каждому институту в начале года будут доводиться медианные значения показателей КБПР научного направления. Этот показатель рассчитан на один год 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не будет пересчитываться. Таким образом, у институтов в планировании свой эффективной деятельности будет ориентир.</w:t>
      </w: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5E7F" w:rsidRDefault="009C5E7F" w:rsidP="009C5E7F">
      <w:pPr>
        <w:jc w:val="both"/>
        <w:rPr>
          <w:sz w:val="28"/>
          <w:szCs w:val="28"/>
        </w:rPr>
      </w:pPr>
    </w:p>
    <w:p w:rsidR="009C5E7F" w:rsidRDefault="009C5E7F" w:rsidP="009C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Майорова</w:t>
      </w:r>
      <w:proofErr w:type="spellEnd"/>
    </w:p>
    <w:p w:rsidR="009B58F5" w:rsidRPr="002F1BAD" w:rsidRDefault="002F1BAD">
      <w:pPr>
        <w:rPr>
          <w:sz w:val="28"/>
          <w:szCs w:val="28"/>
        </w:rPr>
      </w:pPr>
      <w:r>
        <w:t xml:space="preserve">А.И. </w:t>
      </w:r>
      <w:r>
        <w:rPr>
          <w:sz w:val="28"/>
          <w:szCs w:val="28"/>
        </w:rPr>
        <w:t>Дерягин</w:t>
      </w:r>
    </w:p>
    <w:sectPr w:rsidR="009B58F5" w:rsidRPr="002F1BAD" w:rsidSect="009B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E7F"/>
    <w:rsid w:val="000E3273"/>
    <w:rsid w:val="002F1BAD"/>
    <w:rsid w:val="0047328F"/>
    <w:rsid w:val="009B58F5"/>
    <w:rsid w:val="009C5E7F"/>
    <w:rsid w:val="00E6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E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6</cp:revision>
  <dcterms:created xsi:type="dcterms:W3CDTF">2022-02-14T07:01:00Z</dcterms:created>
  <dcterms:modified xsi:type="dcterms:W3CDTF">2022-02-14T07:31:00Z</dcterms:modified>
</cp:coreProperties>
</file>